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AB" w:rsidRDefault="00804BAB" w:rsidP="000375B6">
      <w:pPr>
        <w:rPr>
          <w:rFonts w:ascii="Times New Roman" w:hAnsi="Times New Roman" w:cs="Times New Roman"/>
          <w:b/>
          <w:color w:val="4472C4" w:themeColor="accent1"/>
          <w:lang w:val="en-GB"/>
        </w:rPr>
      </w:pPr>
      <w:r>
        <w:rPr>
          <w:rFonts w:ascii="Times New Roman" w:hAnsi="Times New Roman" w:cs="Times New Roman"/>
          <w:b/>
          <w:color w:val="4472C4" w:themeColor="accent1"/>
          <w:lang w:val="en-GB"/>
        </w:rPr>
        <w:t>Background</w:t>
      </w:r>
    </w:p>
    <w:p w:rsidR="000375B6" w:rsidRDefault="000375B6" w:rsidP="000375B6">
      <w:pPr>
        <w:rPr>
          <w:rFonts w:ascii="Times New Roman" w:hAnsi="Times New Roman" w:cs="Times New Roman"/>
          <w:lang w:val="en-GB"/>
        </w:rPr>
      </w:pPr>
      <w:r w:rsidRPr="000375B6">
        <w:rPr>
          <w:rFonts w:ascii="Times New Roman" w:hAnsi="Times New Roman" w:cs="Times New Roman"/>
          <w:lang w:val="en-GB"/>
        </w:rPr>
        <w:t xml:space="preserve">In </w:t>
      </w:r>
      <w:r w:rsidR="0015297B">
        <w:rPr>
          <w:rFonts w:ascii="Times New Roman" w:hAnsi="Times New Roman" w:cs="Times New Roman"/>
          <w:lang w:val="en-GB"/>
        </w:rPr>
        <w:t>2011</w:t>
      </w:r>
      <w:r w:rsidR="00CD3F37" w:rsidRPr="000375B6">
        <w:rPr>
          <w:rFonts w:ascii="Times New Roman" w:hAnsi="Times New Roman" w:cs="Times New Roman"/>
          <w:lang w:val="en-GB"/>
        </w:rPr>
        <w:t>,</w:t>
      </w:r>
      <w:r w:rsidRPr="000375B6">
        <w:rPr>
          <w:rFonts w:ascii="Times New Roman" w:hAnsi="Times New Roman" w:cs="Times New Roman"/>
          <w:lang w:val="en-GB"/>
        </w:rPr>
        <w:t xml:space="preserve"> </w:t>
      </w:r>
      <w:r w:rsidR="0015297B">
        <w:rPr>
          <w:rFonts w:ascii="Times New Roman" w:hAnsi="Times New Roman" w:cs="Times New Roman"/>
          <w:lang w:val="en-GB"/>
        </w:rPr>
        <w:t xml:space="preserve">with the help of SKDT </w:t>
      </w:r>
      <w:r w:rsidRPr="000375B6">
        <w:rPr>
          <w:rFonts w:ascii="Times New Roman" w:hAnsi="Times New Roman" w:cs="Times New Roman"/>
          <w:lang w:val="en-GB"/>
        </w:rPr>
        <w:t>the first survey of households within the West Kintyre Community Council area resulted in the dev</w:t>
      </w:r>
      <w:r>
        <w:rPr>
          <w:rFonts w:ascii="Times New Roman" w:hAnsi="Times New Roman" w:cs="Times New Roman"/>
          <w:lang w:val="en-GB"/>
        </w:rPr>
        <w:t>elopment of the Community Ac</w:t>
      </w:r>
      <w:r w:rsidR="00CD3F37">
        <w:rPr>
          <w:rFonts w:ascii="Times New Roman" w:hAnsi="Times New Roman" w:cs="Times New Roman"/>
          <w:lang w:val="en-GB"/>
        </w:rPr>
        <w:t>tion Plan 2012 -2017</w:t>
      </w:r>
      <w:r w:rsidR="0015297B">
        <w:rPr>
          <w:rFonts w:ascii="Times New Roman" w:hAnsi="Times New Roman" w:cs="Times New Roman"/>
          <w:lang w:val="en-GB"/>
        </w:rPr>
        <w:t>.  This plan</w:t>
      </w:r>
      <w:r>
        <w:rPr>
          <w:rFonts w:ascii="Times New Roman" w:hAnsi="Times New Roman" w:cs="Times New Roman"/>
          <w:lang w:val="en-GB"/>
        </w:rPr>
        <w:t xml:space="preserve"> summarised and prioritise</w:t>
      </w:r>
      <w:r w:rsidR="00CD3F37">
        <w:rPr>
          <w:rFonts w:ascii="Times New Roman" w:hAnsi="Times New Roman" w:cs="Times New Roman"/>
          <w:lang w:val="en-GB"/>
        </w:rPr>
        <w:t>d the i</w:t>
      </w:r>
      <w:r w:rsidR="00804BAB">
        <w:rPr>
          <w:rFonts w:ascii="Times New Roman" w:hAnsi="Times New Roman" w:cs="Times New Roman"/>
          <w:lang w:val="en-GB"/>
        </w:rPr>
        <w:t>ssues that mattered</w:t>
      </w:r>
      <w:r w:rsidR="00CD3F37">
        <w:rPr>
          <w:rFonts w:ascii="Times New Roman" w:hAnsi="Times New Roman" w:cs="Times New Roman"/>
          <w:lang w:val="en-GB"/>
        </w:rPr>
        <w:t xml:space="preserve"> </w:t>
      </w:r>
      <w:r w:rsidR="0015297B">
        <w:rPr>
          <w:rFonts w:ascii="Times New Roman" w:hAnsi="Times New Roman" w:cs="Times New Roman"/>
          <w:lang w:val="en-GB"/>
        </w:rPr>
        <w:t>most to our community and has</w:t>
      </w:r>
      <w:r w:rsidR="00CD3F37">
        <w:rPr>
          <w:rFonts w:ascii="Times New Roman" w:hAnsi="Times New Roman" w:cs="Times New Roman"/>
          <w:lang w:val="en-GB"/>
        </w:rPr>
        <w:t xml:space="preserve"> been our guide for what we have tried to make happen</w:t>
      </w:r>
      <w:r w:rsidR="0015297B">
        <w:rPr>
          <w:rFonts w:ascii="Times New Roman" w:hAnsi="Times New Roman" w:cs="Times New Roman"/>
          <w:lang w:val="en-GB"/>
        </w:rPr>
        <w:t xml:space="preserve"> within the community</w:t>
      </w:r>
      <w:r w:rsidR="00CD3F37">
        <w:rPr>
          <w:rFonts w:ascii="Times New Roman" w:hAnsi="Times New Roman" w:cs="Times New Roman"/>
          <w:lang w:val="en-GB"/>
        </w:rPr>
        <w:t xml:space="preserve"> over the past 5 years.</w:t>
      </w:r>
    </w:p>
    <w:p w:rsidR="00CD3F37" w:rsidRDefault="00CD3F37" w:rsidP="000375B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Despite the challenging e</w:t>
      </w:r>
      <w:r w:rsidR="0015297B">
        <w:rPr>
          <w:rFonts w:ascii="Times New Roman" w:hAnsi="Times New Roman" w:cs="Times New Roman"/>
          <w:lang w:val="en-GB"/>
        </w:rPr>
        <w:t xml:space="preserve">conomic climate </w:t>
      </w:r>
      <w:r>
        <w:rPr>
          <w:rFonts w:ascii="Times New Roman" w:hAnsi="Times New Roman" w:cs="Times New Roman"/>
          <w:lang w:val="en-GB"/>
        </w:rPr>
        <w:t>over this perio</w:t>
      </w:r>
      <w:r w:rsidR="00804BAB">
        <w:rPr>
          <w:rFonts w:ascii="Times New Roman" w:hAnsi="Times New Roman" w:cs="Times New Roman"/>
          <w:lang w:val="en-GB"/>
        </w:rPr>
        <w:t>d we have as a community worked</w:t>
      </w:r>
      <w:r>
        <w:rPr>
          <w:rFonts w:ascii="Times New Roman" w:hAnsi="Times New Roman" w:cs="Times New Roman"/>
          <w:lang w:val="en-GB"/>
        </w:rPr>
        <w:t xml:space="preserve"> with our locally elected members, and partners such as Argyll &amp; Bute Council, Transport Scotland, HIE, BT and the Windfarm Trust to name but a few achieved much but by </w:t>
      </w:r>
      <w:r w:rsidR="0015297B">
        <w:rPr>
          <w:rFonts w:ascii="Times New Roman" w:hAnsi="Times New Roman" w:cs="Times New Roman"/>
          <w:lang w:val="en-GB"/>
        </w:rPr>
        <w:t>no means all the targets the</w:t>
      </w:r>
      <w:r>
        <w:rPr>
          <w:rFonts w:ascii="Times New Roman" w:hAnsi="Times New Roman" w:cs="Times New Roman"/>
          <w:lang w:val="en-GB"/>
        </w:rPr>
        <w:t xml:space="preserve"> community set out to achieve.  However, as with all “Living Plans” during this period other priorities such as the damage caused by flooding</w:t>
      </w:r>
      <w:r w:rsidR="00B43D74">
        <w:rPr>
          <w:rFonts w:ascii="Times New Roman" w:hAnsi="Times New Roman" w:cs="Times New Roman"/>
          <w:lang w:val="en-GB"/>
        </w:rPr>
        <w:t xml:space="preserve"> in</w:t>
      </w:r>
      <w:r>
        <w:rPr>
          <w:rFonts w:ascii="Times New Roman" w:hAnsi="Times New Roman" w:cs="Times New Roman"/>
          <w:lang w:val="en-GB"/>
        </w:rPr>
        <w:t xml:space="preserve"> Clachan have also been tackled,</w:t>
      </w:r>
      <w:r w:rsidR="00B43D74">
        <w:rPr>
          <w:rFonts w:ascii="Times New Roman" w:hAnsi="Times New Roman" w:cs="Times New Roman"/>
          <w:lang w:val="en-GB"/>
        </w:rPr>
        <w:t xml:space="preserve"> with the repairs</w:t>
      </w:r>
      <w:r>
        <w:rPr>
          <w:rFonts w:ascii="Times New Roman" w:hAnsi="Times New Roman" w:cs="Times New Roman"/>
          <w:lang w:val="en-GB"/>
        </w:rPr>
        <w:t xml:space="preserve"> helped by </w:t>
      </w:r>
      <w:r w:rsidR="00887E3B">
        <w:rPr>
          <w:rFonts w:ascii="Times New Roman" w:hAnsi="Times New Roman" w:cs="Times New Roman"/>
          <w:lang w:val="en-GB"/>
        </w:rPr>
        <w:t xml:space="preserve">majority funding via the </w:t>
      </w:r>
      <w:r>
        <w:rPr>
          <w:rFonts w:ascii="Times New Roman" w:hAnsi="Times New Roman" w:cs="Times New Roman"/>
          <w:lang w:val="en-GB"/>
        </w:rPr>
        <w:t>Win</w:t>
      </w:r>
      <w:r w:rsidR="00887E3B">
        <w:rPr>
          <w:rFonts w:ascii="Times New Roman" w:hAnsi="Times New Roman" w:cs="Times New Roman"/>
          <w:lang w:val="en-GB"/>
        </w:rPr>
        <w:t>dfarm Trust.</w:t>
      </w:r>
    </w:p>
    <w:p w:rsidR="00804BAB" w:rsidRPr="00804BAB" w:rsidRDefault="00804BAB" w:rsidP="00804BA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brief resume of what has been happening over the past few years follows: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New signage</w:t>
      </w:r>
      <w:r w:rsidR="00804BAB">
        <w:rPr>
          <w:rFonts w:ascii="Times New Roman" w:hAnsi="Times New Roman" w:cs="Times New Roman"/>
          <w:lang w:val="en-GB"/>
        </w:rPr>
        <w:t xml:space="preserve"> is now</w:t>
      </w:r>
      <w:r>
        <w:rPr>
          <w:rFonts w:ascii="Times New Roman" w:hAnsi="Times New Roman" w:cs="Times New Roman"/>
          <w:lang w:val="en-GB"/>
        </w:rPr>
        <w:t xml:space="preserve"> in place in all villages.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A83 has seen many improvements although there is still some way to go.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Tayinloan playing fields has a new drainage system.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Broadband connectivity has been improved in some areas but remains a priority to be </w:t>
      </w:r>
      <w:r w:rsidR="0015297B">
        <w:rPr>
          <w:rFonts w:ascii="Times New Roman" w:hAnsi="Times New Roman" w:cs="Times New Roman"/>
          <w:lang w:val="en-GB"/>
        </w:rPr>
        <w:t>lobbied for</w:t>
      </w:r>
      <w:r>
        <w:rPr>
          <w:rFonts w:ascii="Times New Roman" w:hAnsi="Times New Roman" w:cs="Times New Roman"/>
          <w:lang w:val="en-GB"/>
        </w:rPr>
        <w:t xml:space="preserve"> across the</w:t>
      </w:r>
      <w:r w:rsidR="0015297B">
        <w:rPr>
          <w:rFonts w:ascii="Times New Roman" w:hAnsi="Times New Roman" w:cs="Times New Roman"/>
          <w:lang w:val="en-GB"/>
        </w:rPr>
        <w:t xml:space="preserve"> whole</w:t>
      </w:r>
      <w:r>
        <w:rPr>
          <w:rFonts w:ascii="Times New Roman" w:hAnsi="Times New Roman" w:cs="Times New Roman"/>
          <w:lang w:val="en-GB"/>
        </w:rPr>
        <w:t xml:space="preserve"> area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Mobile phone coverage remains an issue throughout the area, we will continue to lobby for improvements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Muasdale surgery remains open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Tayinloan toilets remain open and have been upgraded due to a ground-breaking agreement between Argyll &amp; Bute Council, the Community Council and Windfarm Trust.</w:t>
      </w:r>
    </w:p>
    <w:p w:rsidR="00887E3B" w:rsidRDefault="00887E3B" w:rsidP="0088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Empty buildings and affordable housing remain a priority.</w:t>
      </w:r>
    </w:p>
    <w:p w:rsidR="00887E3B" w:rsidRDefault="00177AA9" w:rsidP="0088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above is </w:t>
      </w:r>
      <w:r w:rsidR="00804BAB">
        <w:rPr>
          <w:rFonts w:ascii="Times New Roman" w:hAnsi="Times New Roman" w:cs="Times New Roman"/>
          <w:lang w:val="en-GB"/>
        </w:rPr>
        <w:t>not an exhausti</w:t>
      </w:r>
      <w:r>
        <w:rPr>
          <w:rFonts w:ascii="Times New Roman" w:hAnsi="Times New Roman" w:cs="Times New Roman"/>
          <w:lang w:val="en-GB"/>
        </w:rPr>
        <w:t>ve list but indicates some of the community achievements over that past 5 years. Plus, to</w:t>
      </w:r>
      <w:r w:rsidR="00804BAB">
        <w:rPr>
          <w:rFonts w:ascii="Times New Roman" w:hAnsi="Times New Roman" w:cs="Times New Roman"/>
          <w:lang w:val="en-GB"/>
        </w:rPr>
        <w:t xml:space="preserve"> </w:t>
      </w:r>
      <w:r w:rsidR="005445B0">
        <w:rPr>
          <w:rFonts w:ascii="Times New Roman" w:hAnsi="Times New Roman" w:cs="Times New Roman"/>
          <w:lang w:val="en-GB"/>
        </w:rPr>
        <w:t>ensure our</w:t>
      </w:r>
      <w:r w:rsidR="00887E3B">
        <w:rPr>
          <w:rFonts w:ascii="Times New Roman" w:hAnsi="Times New Roman" w:cs="Times New Roman"/>
          <w:lang w:val="en-GB"/>
        </w:rPr>
        <w:t xml:space="preserve"> village and Church halls remain viable and</w:t>
      </w:r>
      <w:r w:rsidR="00B43D74">
        <w:rPr>
          <w:rFonts w:ascii="Times New Roman" w:hAnsi="Times New Roman" w:cs="Times New Roman"/>
          <w:lang w:val="en-GB"/>
        </w:rPr>
        <w:t xml:space="preserve"> sustainable</w:t>
      </w:r>
      <w:r w:rsidR="0015297B">
        <w:rPr>
          <w:rFonts w:ascii="Times New Roman" w:hAnsi="Times New Roman" w:cs="Times New Roman"/>
          <w:lang w:val="en-GB"/>
        </w:rPr>
        <w:t xml:space="preserve"> for the foreseeable future</w:t>
      </w:r>
      <w:r w:rsidR="00887E3B">
        <w:rPr>
          <w:rFonts w:ascii="Times New Roman" w:hAnsi="Times New Roman" w:cs="Times New Roman"/>
          <w:lang w:val="en-GB"/>
        </w:rPr>
        <w:t xml:space="preserve"> the Windfarm Trust has given funding </w:t>
      </w:r>
      <w:r w:rsidR="00F3323B">
        <w:rPr>
          <w:rFonts w:ascii="Times New Roman" w:hAnsi="Times New Roman" w:cs="Times New Roman"/>
          <w:lang w:val="en-GB"/>
        </w:rPr>
        <w:t>towards the fitting o</w:t>
      </w:r>
      <w:r w:rsidR="00804BAB">
        <w:rPr>
          <w:rFonts w:ascii="Times New Roman" w:hAnsi="Times New Roman" w:cs="Times New Roman"/>
          <w:lang w:val="en-GB"/>
        </w:rPr>
        <w:t>f solar panels to three village halls</w:t>
      </w:r>
      <w:r w:rsidR="004E02E8">
        <w:rPr>
          <w:rFonts w:ascii="Times New Roman" w:hAnsi="Times New Roman" w:cs="Times New Roman"/>
          <w:lang w:val="en-GB"/>
        </w:rPr>
        <w:t xml:space="preserve"> and one church h</w:t>
      </w:r>
      <w:r>
        <w:rPr>
          <w:rFonts w:ascii="Times New Roman" w:hAnsi="Times New Roman" w:cs="Times New Roman"/>
          <w:lang w:val="en-GB"/>
        </w:rPr>
        <w:t xml:space="preserve">all plus the same funding to the </w:t>
      </w:r>
      <w:r w:rsidR="004E02E8">
        <w:rPr>
          <w:rFonts w:ascii="Times New Roman" w:hAnsi="Times New Roman" w:cs="Times New Roman"/>
          <w:lang w:val="en-GB"/>
        </w:rPr>
        <w:t xml:space="preserve">other church hall for </w:t>
      </w:r>
      <w:r>
        <w:rPr>
          <w:rFonts w:ascii="Times New Roman" w:hAnsi="Times New Roman" w:cs="Times New Roman"/>
          <w:lang w:val="en-GB"/>
        </w:rPr>
        <w:t xml:space="preserve">the </w:t>
      </w:r>
      <w:r w:rsidR="00F3323B">
        <w:rPr>
          <w:rFonts w:ascii="Times New Roman" w:hAnsi="Times New Roman" w:cs="Times New Roman"/>
          <w:lang w:val="en-GB"/>
        </w:rPr>
        <w:t>installation of energy efficiency measures.</w:t>
      </w:r>
    </w:p>
    <w:p w:rsidR="005445B0" w:rsidRDefault="00804BAB" w:rsidP="0088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current action plan will remain a “living plan” for further work over the next few years. However, i</w:t>
      </w:r>
      <w:r w:rsidR="00F3323B">
        <w:rPr>
          <w:rFonts w:ascii="Times New Roman" w:hAnsi="Times New Roman" w:cs="Times New Roman"/>
          <w:lang w:val="en-GB"/>
        </w:rPr>
        <w:t xml:space="preserve">n September 2016 with the help of the local Community </w:t>
      </w:r>
      <w:r w:rsidR="004E02E8">
        <w:rPr>
          <w:rFonts w:ascii="Times New Roman" w:hAnsi="Times New Roman" w:cs="Times New Roman"/>
          <w:lang w:val="en-GB"/>
        </w:rPr>
        <w:t>Development</w:t>
      </w:r>
      <w:r w:rsidR="00F3323B">
        <w:rPr>
          <w:rFonts w:ascii="Times New Roman" w:hAnsi="Times New Roman" w:cs="Times New Roman"/>
          <w:lang w:val="en-GB"/>
        </w:rPr>
        <w:t xml:space="preserve"> Officer a </w:t>
      </w:r>
      <w:r w:rsidR="004E02E8">
        <w:rPr>
          <w:rFonts w:ascii="Times New Roman" w:hAnsi="Times New Roman" w:cs="Times New Roman"/>
          <w:lang w:val="en-GB"/>
        </w:rPr>
        <w:t>short-term</w:t>
      </w:r>
      <w:r w:rsidR="00F3323B">
        <w:rPr>
          <w:rFonts w:ascii="Times New Roman" w:hAnsi="Times New Roman" w:cs="Times New Roman"/>
          <w:lang w:val="en-GB"/>
        </w:rPr>
        <w:t xml:space="preserve"> focus group consisting of </w:t>
      </w:r>
      <w:r w:rsidR="004E02E8">
        <w:rPr>
          <w:rFonts w:ascii="Times New Roman" w:hAnsi="Times New Roman" w:cs="Times New Roman"/>
          <w:lang w:val="en-GB"/>
        </w:rPr>
        <w:t>residents</w:t>
      </w:r>
      <w:r w:rsidR="00F3323B">
        <w:rPr>
          <w:rFonts w:ascii="Times New Roman" w:hAnsi="Times New Roman" w:cs="Times New Roman"/>
          <w:lang w:val="en-GB"/>
        </w:rPr>
        <w:t xml:space="preserve">, Community Councillors, local businesses and local Councillors was set up tasked with reviewing the current action plan and gathering community priorities for </w:t>
      </w:r>
      <w:r>
        <w:rPr>
          <w:rFonts w:ascii="Times New Roman" w:hAnsi="Times New Roman" w:cs="Times New Roman"/>
          <w:lang w:val="en-GB"/>
        </w:rPr>
        <w:t xml:space="preserve">further </w:t>
      </w:r>
      <w:r w:rsidR="00F3323B">
        <w:rPr>
          <w:rFonts w:ascii="Times New Roman" w:hAnsi="Times New Roman" w:cs="Times New Roman"/>
          <w:lang w:val="en-GB"/>
        </w:rPr>
        <w:t>action over the next 5-6 years.  There followed the distribution of a community survey with a freepost return address for ease of r</w:t>
      </w:r>
      <w:r w:rsidR="00B43D74">
        <w:rPr>
          <w:rFonts w:ascii="Times New Roman" w:hAnsi="Times New Roman" w:cs="Times New Roman"/>
          <w:lang w:val="en-GB"/>
        </w:rPr>
        <w:t>eturn by residents</w:t>
      </w:r>
      <w:r w:rsidR="004E02E8">
        <w:rPr>
          <w:rFonts w:ascii="Times New Roman" w:hAnsi="Times New Roman" w:cs="Times New Roman"/>
          <w:lang w:val="en-GB"/>
        </w:rPr>
        <w:t>.</w:t>
      </w:r>
      <w:r w:rsidR="00F3323B">
        <w:rPr>
          <w:rFonts w:ascii="Times New Roman" w:hAnsi="Times New Roman" w:cs="Times New Roman"/>
          <w:lang w:val="en-GB"/>
        </w:rPr>
        <w:t xml:space="preserve"> </w:t>
      </w:r>
      <w:r w:rsidR="004E02E8">
        <w:rPr>
          <w:rFonts w:ascii="Times New Roman" w:hAnsi="Times New Roman" w:cs="Times New Roman"/>
          <w:lang w:val="en-GB"/>
        </w:rPr>
        <w:t>With rural depopu</w:t>
      </w:r>
      <w:r w:rsidR="00F3323B">
        <w:rPr>
          <w:rFonts w:ascii="Times New Roman" w:hAnsi="Times New Roman" w:cs="Times New Roman"/>
          <w:lang w:val="en-GB"/>
        </w:rPr>
        <w:t xml:space="preserve">lation continuing to be </w:t>
      </w:r>
      <w:r w:rsidR="004E02E8">
        <w:rPr>
          <w:rFonts w:ascii="Times New Roman" w:hAnsi="Times New Roman" w:cs="Times New Roman"/>
          <w:lang w:val="en-GB"/>
        </w:rPr>
        <w:t xml:space="preserve">an issue throughout the area new </w:t>
      </w:r>
      <w:r w:rsidR="00B43D74">
        <w:rPr>
          <w:rFonts w:ascii="Times New Roman" w:hAnsi="Times New Roman" w:cs="Times New Roman"/>
          <w:lang w:val="en-GB"/>
        </w:rPr>
        <w:t>questions asking for ideas on</w:t>
      </w:r>
      <w:r w:rsidR="004E02E8">
        <w:rPr>
          <w:rFonts w:ascii="Times New Roman" w:hAnsi="Times New Roman" w:cs="Times New Roman"/>
          <w:lang w:val="en-GB"/>
        </w:rPr>
        <w:t xml:space="preserve"> how we</w:t>
      </w:r>
      <w:r w:rsidR="00B43D74">
        <w:rPr>
          <w:rFonts w:ascii="Times New Roman" w:hAnsi="Times New Roman" w:cs="Times New Roman"/>
          <w:lang w:val="en-GB"/>
        </w:rPr>
        <w:t xml:space="preserve"> as a community</w:t>
      </w:r>
      <w:r w:rsidR="004E02E8">
        <w:rPr>
          <w:rFonts w:ascii="Times New Roman" w:hAnsi="Times New Roman" w:cs="Times New Roman"/>
          <w:lang w:val="en-GB"/>
        </w:rPr>
        <w:t xml:space="preserve"> might encourage young people and families to stay/move into the area</w:t>
      </w:r>
      <w:r w:rsidR="00B43D74">
        <w:rPr>
          <w:rFonts w:ascii="Times New Roman" w:hAnsi="Times New Roman" w:cs="Times New Roman"/>
          <w:lang w:val="en-GB"/>
        </w:rPr>
        <w:t>, plus</w:t>
      </w:r>
      <w:r w:rsidR="004E02E8">
        <w:rPr>
          <w:rFonts w:ascii="Times New Roman" w:hAnsi="Times New Roman" w:cs="Times New Roman"/>
          <w:lang w:val="en-GB"/>
        </w:rPr>
        <w:t xml:space="preserve"> ideas for enterprise </w:t>
      </w:r>
      <w:r w:rsidR="009E0495">
        <w:rPr>
          <w:rFonts w:ascii="Times New Roman" w:hAnsi="Times New Roman" w:cs="Times New Roman"/>
          <w:lang w:val="en-GB"/>
        </w:rPr>
        <w:t xml:space="preserve">and development </w:t>
      </w:r>
      <w:r w:rsidR="004E02E8">
        <w:rPr>
          <w:rFonts w:ascii="Times New Roman" w:hAnsi="Times New Roman" w:cs="Times New Roman"/>
          <w:lang w:val="en-GB"/>
        </w:rPr>
        <w:t>within the area</w:t>
      </w:r>
      <w:r w:rsidR="009E0495">
        <w:rPr>
          <w:rFonts w:ascii="Times New Roman" w:hAnsi="Times New Roman" w:cs="Times New Roman"/>
          <w:lang w:val="en-GB"/>
        </w:rPr>
        <w:t xml:space="preserve"> were</w:t>
      </w:r>
      <w:r w:rsidR="00B43D74">
        <w:rPr>
          <w:rFonts w:ascii="Times New Roman" w:hAnsi="Times New Roman" w:cs="Times New Roman"/>
          <w:lang w:val="en-GB"/>
        </w:rPr>
        <w:t xml:space="preserve"> included in</w:t>
      </w:r>
      <w:r w:rsidR="009E0495">
        <w:rPr>
          <w:rFonts w:ascii="Times New Roman" w:hAnsi="Times New Roman" w:cs="Times New Roman"/>
          <w:lang w:val="en-GB"/>
        </w:rPr>
        <w:t xml:space="preserve"> the survey</w:t>
      </w:r>
      <w:r w:rsidR="004E02E8">
        <w:rPr>
          <w:rFonts w:ascii="Times New Roman" w:hAnsi="Times New Roman" w:cs="Times New Roman"/>
          <w:lang w:val="en-GB"/>
        </w:rPr>
        <w:t>.  Some excellent ideas have been p</w:t>
      </w:r>
      <w:r w:rsidR="007D77BE">
        <w:rPr>
          <w:rFonts w:ascii="Times New Roman" w:hAnsi="Times New Roman" w:cs="Times New Roman"/>
          <w:lang w:val="en-GB"/>
        </w:rPr>
        <w:t xml:space="preserve">ut forward and </w:t>
      </w:r>
      <w:r w:rsidR="004E02E8">
        <w:rPr>
          <w:rFonts w:ascii="Times New Roman" w:hAnsi="Times New Roman" w:cs="Times New Roman"/>
          <w:lang w:val="en-GB"/>
        </w:rPr>
        <w:t>are now incorporated in</w:t>
      </w:r>
      <w:r w:rsidR="007D77BE">
        <w:rPr>
          <w:rFonts w:ascii="Times New Roman" w:hAnsi="Times New Roman" w:cs="Times New Roman"/>
          <w:lang w:val="en-GB"/>
        </w:rPr>
        <w:t xml:space="preserve">to </w:t>
      </w:r>
      <w:r w:rsidR="004E02E8">
        <w:rPr>
          <w:rFonts w:ascii="Times New Roman" w:hAnsi="Times New Roman" w:cs="Times New Roman"/>
          <w:lang w:val="en-GB"/>
        </w:rPr>
        <w:t>the new plan for 2017-2023.</w:t>
      </w:r>
      <w:r w:rsidR="00B43D74">
        <w:rPr>
          <w:rFonts w:ascii="Times New Roman" w:hAnsi="Times New Roman" w:cs="Times New Roman"/>
          <w:lang w:val="en-GB"/>
        </w:rPr>
        <w:t xml:space="preserve"> This “living plan” will form the basi</w:t>
      </w:r>
      <w:r w:rsidR="0015297B">
        <w:rPr>
          <w:rFonts w:ascii="Times New Roman" w:hAnsi="Times New Roman" w:cs="Times New Roman"/>
          <w:lang w:val="en-GB"/>
        </w:rPr>
        <w:t>s of our work for the next few</w:t>
      </w:r>
      <w:r w:rsidR="00B43D74">
        <w:rPr>
          <w:rFonts w:ascii="Times New Roman" w:hAnsi="Times New Roman" w:cs="Times New Roman"/>
          <w:lang w:val="en-GB"/>
        </w:rPr>
        <w:t xml:space="preserve"> years. </w:t>
      </w:r>
      <w:r w:rsidR="00177AA9">
        <w:rPr>
          <w:rFonts w:ascii="Times New Roman" w:hAnsi="Times New Roman" w:cs="Times New Roman"/>
          <w:lang w:val="en-GB"/>
        </w:rPr>
        <w:t xml:space="preserve">However, as with all community’s other priorities may well emerge over the years and will be tackled as they arise. </w:t>
      </w:r>
      <w:r w:rsidR="00B43D74">
        <w:rPr>
          <w:rFonts w:ascii="Times New Roman" w:hAnsi="Times New Roman" w:cs="Times New Roman"/>
          <w:lang w:val="en-GB"/>
        </w:rPr>
        <w:t xml:space="preserve">The plan shows priorities for </w:t>
      </w:r>
      <w:r w:rsidR="005445B0">
        <w:rPr>
          <w:rFonts w:ascii="Times New Roman" w:hAnsi="Times New Roman" w:cs="Times New Roman"/>
          <w:lang w:val="en-GB"/>
        </w:rPr>
        <w:t>to be undertaken with 1 being the highest and 4 the lowest, it also indicates who might be responsible for the implementation of each priority.</w:t>
      </w:r>
    </w:p>
    <w:p w:rsidR="005445B0" w:rsidRPr="00177AA9" w:rsidRDefault="005445B0" w:rsidP="00887E3B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028"/>
        <w:gridCol w:w="1842"/>
        <w:gridCol w:w="2509"/>
        <w:gridCol w:w="1017"/>
        <w:gridCol w:w="1350"/>
        <w:gridCol w:w="1177"/>
      </w:tblGrid>
      <w:tr w:rsidR="006D07D4" w:rsidRPr="005560B4" w:rsidTr="006D07D4">
        <w:tc>
          <w:tcPr>
            <w:tcW w:w="2028" w:type="dxa"/>
          </w:tcPr>
          <w:p w:rsidR="006D07D4" w:rsidRPr="005560B4" w:rsidRDefault="006D07D4" w:rsidP="00AB091B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VISION</w:t>
            </w:r>
          </w:p>
        </w:tc>
        <w:tc>
          <w:tcPr>
            <w:tcW w:w="1842" w:type="dxa"/>
          </w:tcPr>
          <w:p w:rsidR="006D07D4" w:rsidRPr="005560B4" w:rsidRDefault="006D07D4" w:rsidP="00AB091B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OBJECTIVES</w:t>
            </w:r>
          </w:p>
        </w:tc>
        <w:tc>
          <w:tcPr>
            <w:tcW w:w="2509" w:type="dxa"/>
          </w:tcPr>
          <w:p w:rsidR="006D07D4" w:rsidRPr="005560B4" w:rsidRDefault="006D07D4" w:rsidP="00AB091B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ACTION</w:t>
            </w:r>
          </w:p>
        </w:tc>
        <w:tc>
          <w:tcPr>
            <w:tcW w:w="1017" w:type="dxa"/>
          </w:tcPr>
          <w:p w:rsidR="006D07D4" w:rsidRPr="005560B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PRIORITY</w:t>
            </w:r>
          </w:p>
        </w:tc>
        <w:tc>
          <w:tcPr>
            <w:tcW w:w="1350" w:type="dxa"/>
          </w:tcPr>
          <w:p w:rsidR="006D07D4" w:rsidRPr="005560B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BY WHOM</w:t>
            </w:r>
          </w:p>
        </w:tc>
        <w:tc>
          <w:tcPr>
            <w:tcW w:w="1177" w:type="dxa"/>
          </w:tcPr>
          <w:p w:rsidR="006D07D4" w:rsidRPr="005560B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TIMESCALE</w:t>
            </w:r>
          </w:p>
          <w:p w:rsidR="006D07D4" w:rsidRPr="005560B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</w:tc>
      </w:tr>
      <w:tr w:rsidR="006D07D4" w:rsidRPr="00805FB1" w:rsidTr="006D07D4">
        <w:tc>
          <w:tcPr>
            <w:tcW w:w="2028" w:type="dxa"/>
          </w:tcPr>
          <w:p w:rsidR="006D07D4" w:rsidRDefault="006D07D4" w:rsidP="006D07D4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0578F4" w:rsidRPr="0017690D" w:rsidRDefault="000578F4" w:rsidP="0017690D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0578F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Health and Wellbeing</w:t>
            </w:r>
          </w:p>
          <w:p w:rsidR="000578F4" w:rsidRPr="000578F4" w:rsidRDefault="000578F4" w:rsidP="000578F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Community that is physically active and has access to good health and social care services</w:t>
            </w:r>
          </w:p>
          <w:p w:rsidR="000578F4" w:rsidRPr="000578F4" w:rsidRDefault="000578F4" w:rsidP="000578F4">
            <w:pPr>
              <w:pStyle w:val="ListParagraph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560B4" w:rsidRDefault="0017690D" w:rsidP="001769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V</w:t>
            </w:r>
            <w:r w:rsidR="006D07D4"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ISION</w:t>
            </w:r>
          </w:p>
        </w:tc>
        <w:tc>
          <w:tcPr>
            <w:tcW w:w="1842" w:type="dxa"/>
          </w:tcPr>
          <w:p w:rsidR="006D07D4" w:rsidRDefault="006D07D4" w:rsidP="0017690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0578F4" w:rsidRDefault="000578F4" w:rsidP="000578F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Ensure everyone has all ability access to physical and social activities throughout the area.</w:t>
            </w:r>
          </w:p>
          <w:p w:rsidR="006D07D4" w:rsidRPr="006D07D4" w:rsidRDefault="006D07D4" w:rsidP="006D07D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AD6708" w:rsidRDefault="00AD6708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AD6708" w:rsidRPr="00AD6708" w:rsidRDefault="00AD6708" w:rsidP="00AD670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Inform community of changes in Health and Social Care services and how to access 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7690D" w:rsidRDefault="0017690D" w:rsidP="001769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Advertise events throughout the area</w:t>
            </w: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1769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OBJECTIVES</w:t>
            </w:r>
          </w:p>
          <w:p w:rsidR="006D07D4" w:rsidRPr="00736F71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9" w:type="dxa"/>
          </w:tcPr>
          <w:p w:rsidR="006D07D4" w:rsidRDefault="006D07D4" w:rsidP="0017690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36336" w:rsidRDefault="000578F4" w:rsidP="00AB091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Seek to </w:t>
            </w:r>
            <w:r w:rsidR="001070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open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new all ability tracks and paths into the interior of the peninsular by encouraging all futur</w:t>
            </w:r>
            <w:r w:rsidR="00177AA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 windfarm developers to include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all ability access tracks as part of their planning application.</w:t>
            </w: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0578F4" w:rsidRDefault="00AD6708" w:rsidP="000578F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further development of the Kintyre way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7690D" w:rsidRDefault="00AD6708" w:rsidP="001769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the development of Tayinloan playing fields into an all age recreational facility</w:t>
            </w:r>
          </w:p>
          <w:p w:rsidR="006D07D4" w:rsidRDefault="006D07D4" w:rsidP="00536336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AD6708" w:rsidRDefault="00AD6708" w:rsidP="00AD670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Maintain current GP services at Muasdale</w:t>
            </w: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7690D" w:rsidRDefault="00AD6708" w:rsidP="001769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local voluntary and third sector groups operating social activities within the area.</w:t>
            </w:r>
          </w:p>
          <w:p w:rsidR="00AD6708" w:rsidRDefault="00AD6708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AD6708" w:rsidRDefault="00AD6708" w:rsidP="00AD6708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67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Regular newsletters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distributed throughout the area, GP surgery and posted on web sites</w:t>
            </w: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Pr="0017690D" w:rsidRDefault="0017690D" w:rsidP="0017690D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Encourage local groups to advertise events throughout the area</w:t>
            </w:r>
            <w:r w:rsidR="00D510A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just locally</w:t>
            </w: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17690D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D510A7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17690D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92231" w:rsidRDefault="006D07D4" w:rsidP="001769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ACTION</w:t>
            </w:r>
          </w:p>
        </w:tc>
        <w:tc>
          <w:tcPr>
            <w:tcW w:w="1017" w:type="dxa"/>
          </w:tcPr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77AA9" w:rsidRDefault="00177AA9" w:rsidP="00177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10A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560B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PRIORITY</w:t>
            </w:r>
          </w:p>
        </w:tc>
        <w:tc>
          <w:tcPr>
            <w:tcW w:w="1350" w:type="dxa"/>
          </w:tcPr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Pr="0017690D" w:rsidRDefault="000578F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A&amp;B</w:t>
            </w:r>
          </w:p>
          <w:p w:rsidR="006D07D4" w:rsidRPr="0017690D" w:rsidRDefault="00177AA9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SUSTRANS</w:t>
            </w: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P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AD6708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WKWT</w:t>
            </w: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Pr="0017690D" w:rsidRDefault="00AD6708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WKWT, WKDT, Resident’s association</w:t>
            </w:r>
          </w:p>
          <w:p w:rsid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AD6708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LPG, A&amp;B, Muasdale patient focus group</w:t>
            </w:r>
          </w:p>
          <w:p w:rsid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AD6708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WKWT, WKDT</w:t>
            </w: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Pr="0017690D" w:rsidRDefault="0017690D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17690D" w:rsidRDefault="00AD6708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LPG, WKCC, A&amp;B, patient focus group</w:t>
            </w:r>
          </w:p>
          <w:p w:rsidR="006D07D4" w:rsidRPr="0017690D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7690D" w:rsidRDefault="0017690D" w:rsidP="00AB091B">
            <w:pPr>
              <w:rPr>
                <w:lang w:val="en-GB"/>
              </w:rPr>
            </w:pPr>
          </w:p>
          <w:p w:rsidR="0017690D" w:rsidRDefault="0017690D" w:rsidP="00AB091B">
            <w:pPr>
              <w:rPr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Pr="0017690D" w:rsidRDefault="0017690D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69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LOCAL GROUPS</w:t>
            </w: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7690D" w:rsidRDefault="0017690D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536336" w:rsidRDefault="00536336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0578F4" w:rsidRDefault="006D07D4" w:rsidP="00AB091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0578F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BY WHOM</w:t>
            </w:r>
          </w:p>
        </w:tc>
        <w:tc>
          <w:tcPr>
            <w:tcW w:w="1177" w:type="dxa"/>
          </w:tcPr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10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10A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6D07D4" w:rsidP="00D510A7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805FB1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805FB1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TIMESCALE</w:t>
            </w:r>
          </w:p>
        </w:tc>
      </w:tr>
      <w:tr w:rsidR="006D07D4" w:rsidRPr="00805FB1" w:rsidTr="006D07D4">
        <w:tblPrEx>
          <w:tblLook w:val="0600" w:firstRow="0" w:lastRow="0" w:firstColumn="0" w:lastColumn="0" w:noHBand="1" w:noVBand="1"/>
        </w:tblPrEx>
        <w:tc>
          <w:tcPr>
            <w:tcW w:w="2028" w:type="dxa"/>
          </w:tcPr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Communication and Transport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2B71E3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Ensure 21</w:t>
            </w:r>
            <w:r w:rsidRPr="002B71E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century communication and transport links are available for all.</w:t>
            </w: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59223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Young people and Families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</w:p>
          <w:p w:rsidR="006D07D4" w:rsidRPr="00592231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make Kintyre the “home of choice” for young people and families</w:t>
            </w:r>
          </w:p>
          <w:p w:rsidR="006D07D4" w:rsidRPr="00592231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u w:val="single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560B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VISION</w:t>
            </w:r>
          </w:p>
        </w:tc>
        <w:tc>
          <w:tcPr>
            <w:tcW w:w="1842" w:type="dxa"/>
          </w:tcPr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B71E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Ensure access to superfast broa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dband for all.</w:t>
            </w: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Seek to have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3G/4G mobile signal throughout the area</w:t>
            </w: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Improve the A83 throughout the area.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 particular between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Clachan &amp; Tayinloan and Muasdale area.</w:t>
            </w: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Reduce use of cars by increasing bus services between Tarbert and Campbeltown.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Seek to increase better paid, career progression and permanent employment opportunities for young people and families.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96A85" w:rsidRDefault="00196A85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OBJECTIVES</w:t>
            </w:r>
          </w:p>
          <w:p w:rsidR="006D07D4" w:rsidRPr="00736F71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09" w:type="dxa"/>
          </w:tcPr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39187B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Continue to lobby for whole area access to superfast broadband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187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Continue to lobby for mobile phone coverage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throughout the area</w:t>
            </w:r>
          </w:p>
          <w:p w:rsidR="006D07D4" w:rsidRPr="0039187B" w:rsidRDefault="006D07D4" w:rsidP="00AB091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Continue seeking for the whole of the A83 improved throughout the area.  Including the installation of bus stops and shelters in all villages.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Explore the feasibility of setting up a community owned and run bus service to allow better access for all to cinemas, shopping, hospital visits and social activities.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536336" w:rsidRPr="00536336" w:rsidRDefault="006D07D4" w:rsidP="0053633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Encourage/create entrepreneurial small businesses throughout the area</w:t>
            </w:r>
          </w:p>
          <w:p w:rsidR="00536336" w:rsidRPr="00536336" w:rsidRDefault="006D07D4" w:rsidP="0053633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Create more easily accessible business start-up grants</w:t>
            </w:r>
          </w:p>
          <w:p w:rsidR="00536336" w:rsidRPr="00536336" w:rsidRDefault="006D07D4" w:rsidP="0053633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Offer bursaries for those wishing to undertake training and qualification opportunities</w:t>
            </w:r>
          </w:p>
          <w:p w:rsidR="006D07D4" w:rsidRDefault="006D07D4" w:rsidP="00AB091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 housing opportunities for single persons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92231" w:rsidRDefault="006D07D4" w:rsidP="00AB09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ACTION</w:t>
            </w:r>
          </w:p>
        </w:tc>
        <w:tc>
          <w:tcPr>
            <w:tcW w:w="1017" w:type="dxa"/>
          </w:tcPr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F196F" w:rsidRDefault="00DF196F" w:rsidP="00D510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560B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PRIORITY</w:t>
            </w:r>
          </w:p>
        </w:tc>
        <w:tc>
          <w:tcPr>
            <w:tcW w:w="1350" w:type="dxa"/>
          </w:tcPr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Pr="00536336" w:rsidRDefault="006D07D4" w:rsidP="0053633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Pr="00D22D7F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22D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WKCC. A&amp;B</w:t>
            </w:r>
          </w:p>
          <w:p w:rsidR="006D07D4" w:rsidRPr="00D22D7F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D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HIE, BT</w:t>
            </w:r>
          </w:p>
          <w:p w:rsidR="006D07D4" w:rsidRPr="00D22D7F" w:rsidRDefault="006D07D4" w:rsidP="00AB091B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Pr="00D22D7F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D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WKCC,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A&amp;B</w:t>
            </w:r>
          </w:p>
          <w:p w:rsidR="006D07D4" w:rsidRPr="00D22D7F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D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Mobile phone companies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Pr="00736F71" w:rsidRDefault="006D07D4" w:rsidP="00AB091B">
            <w:pPr>
              <w:rPr>
                <w:lang w:val="en-GB"/>
              </w:rPr>
            </w:pPr>
          </w:p>
          <w:p w:rsidR="006D07D4" w:rsidRPr="00736F71" w:rsidRDefault="006D07D4" w:rsidP="00AB091B">
            <w:pPr>
              <w:rPr>
                <w:lang w:val="en-GB"/>
              </w:rPr>
            </w:pPr>
            <w:r>
              <w:rPr>
                <w:lang w:val="en-GB"/>
              </w:rPr>
              <w:t>WKCC, A&amp;B</w:t>
            </w: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  <w:r>
              <w:rPr>
                <w:lang w:val="en-GB"/>
              </w:rPr>
              <w:t>Transport Scotland</w:t>
            </w: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536336" w:rsidRDefault="00536336" w:rsidP="00AB091B">
            <w:pPr>
              <w:rPr>
                <w:lang w:val="en-GB"/>
              </w:rPr>
            </w:pPr>
          </w:p>
          <w:p w:rsidR="00DF196F" w:rsidRDefault="00DF196F" w:rsidP="00AB091B">
            <w:pPr>
              <w:rPr>
                <w:lang w:val="en-GB"/>
              </w:rPr>
            </w:pPr>
          </w:p>
          <w:p w:rsidR="00DF196F" w:rsidRDefault="00DF196F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  <w:r>
              <w:rPr>
                <w:lang w:val="en-GB"/>
              </w:rPr>
              <w:t>WKDT</w:t>
            </w: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rPr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79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WKDT.A&amp;B.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Rural re-settlement fund.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Business gateway.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HIE</w:t>
            </w: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WKCF</w:t>
            </w: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WKCF</w:t>
            </w: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D22D7F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D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Housing associations</w:t>
            </w:r>
          </w:p>
          <w:p w:rsidR="006D07D4" w:rsidRP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96A8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A&amp;B</w:t>
            </w: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736F71" w:rsidRDefault="006D07D4" w:rsidP="00AB091B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BY W</w:t>
            </w:r>
            <w:r w:rsidRPr="005560B4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HOM</w:t>
            </w:r>
          </w:p>
        </w:tc>
        <w:tc>
          <w:tcPr>
            <w:tcW w:w="1177" w:type="dxa"/>
          </w:tcPr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510A7" w:rsidRDefault="00D510A7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DF196F" w:rsidRDefault="00DF196F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2-4yrs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D07D4" w:rsidRPr="00196A85" w:rsidRDefault="00196A85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</w:t>
            </w:r>
            <w:r w:rsidRPr="00196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196A85" w:rsidRPr="00196A85" w:rsidRDefault="00196A85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805FB1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  <w:r w:rsidRPr="00805FB1"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  <w:t>TIMESCALE</w:t>
            </w:r>
          </w:p>
        </w:tc>
      </w:tr>
      <w:tr w:rsidR="006D07D4" w:rsidRPr="0029350A" w:rsidTr="006D07D4">
        <w:tblPrEx>
          <w:tblLook w:val="0600" w:firstRow="0" w:lastRow="0" w:firstColumn="0" w:lastColumn="0" w:noHBand="1" w:noVBand="1"/>
        </w:tblPrEx>
        <w:tc>
          <w:tcPr>
            <w:tcW w:w="2028" w:type="dxa"/>
          </w:tcPr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61794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Young people and families (cont.)</w:t>
            </w: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196A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Default="006D07D4" w:rsidP="00196A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Development and Enterprise</w:t>
            </w:r>
          </w:p>
          <w:p w:rsidR="00196A85" w:rsidRPr="00196A85" w:rsidRDefault="00196A85" w:rsidP="00196A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</w:p>
          <w:p w:rsidR="006D07D4" w:rsidRPr="00B923FB" w:rsidRDefault="006D07D4" w:rsidP="00AB09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develop the area of West Kintyre into a “must be” place to live, work, rest and play”</w:t>
            </w: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6D07D4" w:rsidRPr="0061794E" w:rsidRDefault="006D07D4" w:rsidP="001128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196A8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96A85" w:rsidRDefault="00196A85" w:rsidP="00196A85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F33803" w:rsidRDefault="006D07D4" w:rsidP="00AB09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338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develop a West Kintyre Development Trust limited by guarantee with charitable status.</w:t>
            </w: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536336" w:rsidRDefault="00536336" w:rsidP="00536336">
            <w:pPr>
              <w:pStyle w:val="ListParagraph"/>
              <w:ind w:left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536336" w:rsidRDefault="00536336" w:rsidP="00536336">
            <w:pPr>
              <w:pStyle w:val="ListParagraph"/>
              <w:ind w:left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DF573B" w:rsidRDefault="00DF573B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11283E" w:rsidRDefault="0011283E" w:rsidP="00AB09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Explore options for community ownership of a wind turbine.</w:t>
            </w:r>
          </w:p>
          <w:p w:rsidR="0011283E" w:rsidRPr="0011283E" w:rsidRDefault="0011283E" w:rsidP="0011283E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29350A" w:rsidRDefault="006D07D4" w:rsidP="00AB091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Promote Kintyre and its opportunities</w:t>
            </w:r>
          </w:p>
        </w:tc>
        <w:tc>
          <w:tcPr>
            <w:tcW w:w="2509" w:type="dxa"/>
          </w:tcPr>
          <w:p w:rsidR="006D07D4" w:rsidRDefault="006D07D4" w:rsidP="00AB091B">
            <w:pPr>
              <w:ind w:left="72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Pr="00F33803" w:rsidRDefault="006D07D4" w:rsidP="00AB091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Improve availability of affordable, efficient and mortgage-able or rental properties suitable for young families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196A85" w:rsidRDefault="00196A85" w:rsidP="00AB091B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D07D4" w:rsidRPr="0011283E" w:rsidRDefault="0011283E" w:rsidP="0011283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 w:rsidR="006D07D4" w:rsidRPr="001128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et up 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Community</w:t>
            </w:r>
            <w:r w:rsidR="006D07D4" w:rsidRPr="001128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Development Trust managed by a project </w:t>
            </w:r>
            <w:r w:rsidR="00107016" w:rsidRPr="001128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manager to</w:t>
            </w:r>
            <w:r w:rsidR="006D07D4" w:rsidRPr="001128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run the day to day business of the trust.</w:t>
            </w:r>
          </w:p>
          <w:p w:rsidR="006D07D4" w:rsidRPr="00536336" w:rsidRDefault="006D07D4" w:rsidP="0053633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Development Trust to undertake feasibility studies for the purchase and conversion of unused buildings for community and small business use.</w:t>
            </w:r>
          </w:p>
          <w:p w:rsidR="006D07D4" w:rsidRDefault="006D07D4" w:rsidP="00AB091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5363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Undertake feasibility study for the development of a community bus service </w:t>
            </w:r>
          </w:p>
          <w:p w:rsidR="00DF573B" w:rsidRPr="0011283E" w:rsidRDefault="006D07D4" w:rsidP="00DF573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Undertake a feasibility study for the development of a footpath between Muasdale village and the GP surgery.</w:t>
            </w:r>
          </w:p>
          <w:p w:rsidR="006D07D4" w:rsidRDefault="00DF573B" w:rsidP="00AB091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Trust manager to undertake these</w:t>
            </w:r>
            <w:r w:rsidR="006D07D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task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573B" w:rsidRDefault="00DF573B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573B" w:rsidRDefault="00DF573B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83E" w:rsidRDefault="0011283E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Pr="008544EE" w:rsidRDefault="006D07D4" w:rsidP="00AB091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Advertise and promote the area of West Kintyre as a place to live</w:t>
            </w:r>
            <w:r w:rsidR="0011283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work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bring up children</w:t>
            </w:r>
          </w:p>
        </w:tc>
        <w:tc>
          <w:tcPr>
            <w:tcW w:w="1017" w:type="dxa"/>
          </w:tcPr>
          <w:p w:rsidR="006D07D4" w:rsidRDefault="006D07D4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96A85" w:rsidRDefault="00196A85" w:rsidP="00AB091B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96A85" w:rsidRDefault="00196A85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6A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96A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1283E" w:rsidRPr="0011283E" w:rsidRDefault="0011283E" w:rsidP="0011283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0" w:type="dxa"/>
          </w:tcPr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6D07D4" w:rsidRDefault="00196A85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Housing associations</w:t>
            </w:r>
          </w:p>
          <w:p w:rsidR="00196A85" w:rsidRDefault="00196A85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A&amp;B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DTAS, local community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DF573B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83E" w:rsidRDefault="0011283E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WKDT, SUSTRANS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DF573B" w:rsidRDefault="00DF573B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83E" w:rsidRDefault="0011283E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</w:t>
            </w: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1283E" w:rsidRDefault="0011283E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07D4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WKCC, A&amp;B</w:t>
            </w:r>
          </w:p>
          <w:p w:rsidR="006D07D4" w:rsidRPr="00805FB1" w:rsidRDefault="006D07D4" w:rsidP="00AB09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WKDT</w:t>
            </w:r>
          </w:p>
        </w:tc>
        <w:tc>
          <w:tcPr>
            <w:tcW w:w="1177" w:type="dxa"/>
          </w:tcPr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96A85" w:rsidRDefault="00196A85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1yr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1-3yrs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11283E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1-3yrs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1-3yrs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28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Once appointed ongoing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11283E" w:rsidRDefault="0011283E" w:rsidP="00AB091B">
            <w:pPr>
              <w:pStyle w:val="ListParagraph"/>
              <w:ind w:left="-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28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1-5yrs</w:t>
            </w: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Default="006D07D4" w:rsidP="00AB091B">
            <w:pPr>
              <w:pStyle w:val="ListParagraph"/>
              <w:ind w:left="-57"/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5A3435" w:rsidRDefault="006D07D4" w:rsidP="005A3435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  <w:p w:rsidR="006D07D4" w:rsidRPr="0029350A" w:rsidRDefault="006D07D4" w:rsidP="00AB091B">
            <w:pPr>
              <w:rPr>
                <w:rFonts w:ascii="Times New Roman" w:hAnsi="Times New Roman" w:cs="Times New Roman"/>
                <w:b/>
                <w:color w:val="4472C4" w:themeColor="accent1"/>
                <w:sz w:val="16"/>
                <w:szCs w:val="16"/>
                <w:lang w:val="en-GB"/>
              </w:rPr>
            </w:pPr>
          </w:p>
        </w:tc>
      </w:tr>
    </w:tbl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E66685" w:rsidRDefault="00E66685" w:rsidP="00E66685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GLOSSERY:</w:t>
      </w:r>
    </w:p>
    <w:p w:rsidR="00E66685" w:rsidRDefault="00E66685" w:rsidP="00E66685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>WKCC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West Kintyre Community Council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A&amp;B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Argyll &amp; Bute Council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WKWT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West Kintyre Windfarm Trust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WKCF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 xml:space="preserve">West Kintyre Community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Fund</w:t>
      </w:r>
      <w:r w:rsidR="00C90168">
        <w:rPr>
          <w:rFonts w:ascii="Times New Roman" w:hAnsi="Times New Roman" w:cs="Times New Roman"/>
          <w:sz w:val="20"/>
          <w:szCs w:val="20"/>
          <w:lang w:val="en-GB"/>
        </w:rPr>
        <w:t>( Freas</w:t>
      </w:r>
      <w:bookmarkStart w:id="0" w:name="_GoBack"/>
      <w:bookmarkEnd w:id="0"/>
      <w:r w:rsidR="007C417F">
        <w:rPr>
          <w:rFonts w:ascii="Times New Roman" w:hAnsi="Times New Roman" w:cs="Times New Roman"/>
          <w:sz w:val="20"/>
          <w:szCs w:val="20"/>
          <w:lang w:val="en-GB"/>
        </w:rPr>
        <w:t>dail</w:t>
      </w:r>
      <w:proofErr w:type="gramEnd"/>
      <w:r w:rsidR="007C417F">
        <w:rPr>
          <w:rFonts w:ascii="Times New Roman" w:hAnsi="Times New Roman" w:cs="Times New Roman"/>
          <w:sz w:val="20"/>
          <w:szCs w:val="20"/>
          <w:lang w:val="en-GB"/>
        </w:rPr>
        <w:t xml:space="preserve"> wind farm community benefit)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WKDT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West Kintyre Development Trust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HIE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Highlands and Islands Enterprise</w:t>
      </w:r>
    </w:p>
    <w:p w:rsidR="00E66685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ACT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Argyll and the Isles Countryside Trust</w:t>
      </w:r>
    </w:p>
    <w:p w:rsidR="00E66685" w:rsidRPr="0029350A" w:rsidRDefault="00E66685" w:rsidP="00E66685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  <w:t>LPG</w:t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  <w:t>Locality Planning Group</w:t>
      </w: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Default="006D07D4" w:rsidP="00887E3B">
      <w:pPr>
        <w:rPr>
          <w:rFonts w:ascii="Times New Roman" w:hAnsi="Times New Roman" w:cs="Times New Roman"/>
          <w:lang w:val="en-GB"/>
        </w:rPr>
      </w:pPr>
    </w:p>
    <w:p w:rsidR="006D07D4" w:rsidRPr="00887E3B" w:rsidRDefault="006D07D4" w:rsidP="00887E3B">
      <w:pPr>
        <w:rPr>
          <w:rFonts w:ascii="Times New Roman" w:hAnsi="Times New Roman" w:cs="Times New Roman"/>
          <w:lang w:val="en-GB"/>
        </w:rPr>
      </w:pPr>
    </w:p>
    <w:p w:rsidR="00CD3F37" w:rsidRPr="000375B6" w:rsidRDefault="00CD3F37" w:rsidP="000375B6">
      <w:pPr>
        <w:rPr>
          <w:rFonts w:ascii="Times New Roman" w:hAnsi="Times New Roman" w:cs="Times New Roman"/>
          <w:lang w:val="en-GB"/>
        </w:rPr>
      </w:pPr>
    </w:p>
    <w:p w:rsidR="000375B6" w:rsidRPr="000375B6" w:rsidRDefault="000375B6" w:rsidP="000375B6">
      <w:pPr>
        <w:rPr>
          <w:rFonts w:ascii="Times New Roman" w:hAnsi="Times New Roman" w:cs="Times New Roman"/>
          <w:b/>
          <w:color w:val="4472C4" w:themeColor="accent1"/>
          <w:sz w:val="40"/>
          <w:szCs w:val="40"/>
          <w:lang w:val="en-GB"/>
        </w:rPr>
      </w:pPr>
    </w:p>
    <w:sectPr w:rsidR="000375B6" w:rsidRPr="000375B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B6" w:rsidRDefault="000375B6" w:rsidP="000375B6">
      <w:pPr>
        <w:spacing w:after="0" w:line="240" w:lineRule="auto"/>
      </w:pPr>
      <w:r>
        <w:separator/>
      </w:r>
    </w:p>
  </w:endnote>
  <w:endnote w:type="continuationSeparator" w:id="0">
    <w:p w:rsidR="000375B6" w:rsidRDefault="000375B6" w:rsidP="000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495" w:rsidRDefault="006B78E3">
    <w:pPr>
      <w:pStyle w:val="Footer"/>
    </w:pPr>
    <w:r>
      <w:t>May 2</w:t>
    </w:r>
    <w:r w:rsidR="009E0495">
      <w:t>0</w:t>
    </w:r>
    <w:r>
      <w:t>1</w:t>
    </w:r>
    <w:r w:rsidR="009E0495">
      <w:t xml:space="preserve">7                                                                                           </w:t>
    </w:r>
    <w:r w:rsidR="00CA188D">
      <w:t xml:space="preserve">                        </w:t>
    </w:r>
    <w:hyperlink r:id="rId1" w:history="1">
      <w:r w:rsidR="009E0495" w:rsidRPr="00707963">
        <w:rPr>
          <w:rStyle w:val="Hyperlink"/>
        </w:rPr>
        <w:t>wkcc</w:t>
      </w:r>
      <w:r w:rsidR="00CA188D">
        <w:rPr>
          <w:rStyle w:val="Hyperlink"/>
        </w:rPr>
        <w:t>.</w:t>
      </w:r>
      <w:r w:rsidR="009E0495" w:rsidRPr="00707963">
        <w:rPr>
          <w:rStyle w:val="Hyperlink"/>
        </w:rPr>
        <w:t>weebly.com</w:t>
      </w:r>
    </w:hyperlink>
    <w:r w:rsidR="00CA188D">
      <w:t xml:space="preserve">  </w:t>
    </w:r>
  </w:p>
  <w:p w:rsidR="009E0495" w:rsidRDefault="009E0495">
    <w:pPr>
      <w:pStyle w:val="Footer"/>
    </w:pPr>
  </w:p>
  <w:p w:rsidR="009E0495" w:rsidRDefault="009E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B6" w:rsidRDefault="000375B6" w:rsidP="000375B6">
      <w:pPr>
        <w:spacing w:after="0" w:line="240" w:lineRule="auto"/>
      </w:pPr>
      <w:r>
        <w:separator/>
      </w:r>
    </w:p>
  </w:footnote>
  <w:footnote w:type="continuationSeparator" w:id="0">
    <w:p w:rsidR="000375B6" w:rsidRDefault="000375B6" w:rsidP="0003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DE" w:rsidRDefault="00804BAB" w:rsidP="00C137DE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804BAB">
      <w:rPr>
        <w:rFonts w:ascii="Times New Roman" w:hAnsi="Times New Roman" w:cs="Times New Roman"/>
        <w:sz w:val="44"/>
        <w:szCs w:val="44"/>
      </w:rPr>
      <w:t>W</w:t>
    </w:r>
    <w:r>
      <w:rPr>
        <w:rFonts w:ascii="Times New Roman" w:hAnsi="Times New Roman" w:cs="Times New Roman"/>
        <w:b/>
        <w:sz w:val="44"/>
        <w:szCs w:val="44"/>
      </w:rPr>
      <w:t>EST KINTYRE COMMUNITY COUNCIL</w:t>
    </w:r>
  </w:p>
  <w:p w:rsidR="00804BAB" w:rsidRPr="00004E7E" w:rsidRDefault="00804BAB" w:rsidP="00C137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>
      <w:rPr>
        <w:rFonts w:ascii="Times New Roman" w:hAnsi="Times New Roman" w:cs="Times New Roman"/>
        <w:b/>
        <w:color w:val="4472C4" w:themeColor="accent1"/>
        <w:sz w:val="44"/>
        <w:szCs w:val="44"/>
      </w:rPr>
      <w:t>COMMUNITY ACTION PLAN 2017-2023</w:t>
    </w:r>
    <w:r w:rsidR="00004E7E">
      <w:rPr>
        <w:rFonts w:ascii="Times New Roman" w:hAnsi="Times New Roman" w:cs="Times New Roman"/>
        <w:b/>
        <w:color w:val="4472C4" w:themeColor="accent1"/>
        <w:sz w:val="44"/>
        <w:szCs w:val="44"/>
      </w:rPr>
      <w:t xml:space="preserve"> </w:t>
    </w:r>
  </w:p>
  <w:p w:rsidR="000375B6" w:rsidRDefault="00037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EBD"/>
    <w:multiLevelType w:val="hybridMultilevel"/>
    <w:tmpl w:val="DB943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336AD"/>
    <w:multiLevelType w:val="hybridMultilevel"/>
    <w:tmpl w:val="AA10DB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F76017"/>
    <w:multiLevelType w:val="hybridMultilevel"/>
    <w:tmpl w:val="2B96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0191"/>
    <w:multiLevelType w:val="hybridMultilevel"/>
    <w:tmpl w:val="BFCA472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5DB40B12"/>
    <w:multiLevelType w:val="hybridMultilevel"/>
    <w:tmpl w:val="5C64CDB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9FA74C1"/>
    <w:multiLevelType w:val="hybridMultilevel"/>
    <w:tmpl w:val="9DB0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30372"/>
    <w:multiLevelType w:val="hybridMultilevel"/>
    <w:tmpl w:val="10CA6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A326B"/>
    <w:multiLevelType w:val="hybridMultilevel"/>
    <w:tmpl w:val="EFB82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B6"/>
    <w:rsid w:val="00004E7E"/>
    <w:rsid w:val="000375B6"/>
    <w:rsid w:val="000578F4"/>
    <w:rsid w:val="00073DB3"/>
    <w:rsid w:val="000941AA"/>
    <w:rsid w:val="000E54D5"/>
    <w:rsid w:val="00107016"/>
    <w:rsid w:val="0011283E"/>
    <w:rsid w:val="0015297B"/>
    <w:rsid w:val="0017690D"/>
    <w:rsid w:val="00177AA9"/>
    <w:rsid w:val="00194011"/>
    <w:rsid w:val="00196A85"/>
    <w:rsid w:val="0029350A"/>
    <w:rsid w:val="002B71E3"/>
    <w:rsid w:val="002C30A0"/>
    <w:rsid w:val="0039187B"/>
    <w:rsid w:val="00492019"/>
    <w:rsid w:val="004E02E8"/>
    <w:rsid w:val="00536336"/>
    <w:rsid w:val="005445B0"/>
    <w:rsid w:val="005560B4"/>
    <w:rsid w:val="0058425C"/>
    <w:rsid w:val="00592231"/>
    <w:rsid w:val="005A3435"/>
    <w:rsid w:val="0061661D"/>
    <w:rsid w:val="0061794E"/>
    <w:rsid w:val="0066455A"/>
    <w:rsid w:val="006B78E3"/>
    <w:rsid w:val="006D07D4"/>
    <w:rsid w:val="00736F71"/>
    <w:rsid w:val="007C417F"/>
    <w:rsid w:val="007D77BE"/>
    <w:rsid w:val="007F4228"/>
    <w:rsid w:val="00804BAB"/>
    <w:rsid w:val="00805FB1"/>
    <w:rsid w:val="00844D0D"/>
    <w:rsid w:val="008544EE"/>
    <w:rsid w:val="00887E3B"/>
    <w:rsid w:val="009E0495"/>
    <w:rsid w:val="00A06EFB"/>
    <w:rsid w:val="00A95C2E"/>
    <w:rsid w:val="00AD6708"/>
    <w:rsid w:val="00B43D74"/>
    <w:rsid w:val="00B923FB"/>
    <w:rsid w:val="00C137DE"/>
    <w:rsid w:val="00C90168"/>
    <w:rsid w:val="00CA188D"/>
    <w:rsid w:val="00CD3F37"/>
    <w:rsid w:val="00D22D7F"/>
    <w:rsid w:val="00D510A7"/>
    <w:rsid w:val="00D52361"/>
    <w:rsid w:val="00D964DA"/>
    <w:rsid w:val="00DF196F"/>
    <w:rsid w:val="00DF573B"/>
    <w:rsid w:val="00E265C1"/>
    <w:rsid w:val="00E66685"/>
    <w:rsid w:val="00EA4E08"/>
    <w:rsid w:val="00F27DBC"/>
    <w:rsid w:val="00F3323B"/>
    <w:rsid w:val="00F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B20FB4"/>
  <w15:chartTrackingRefBased/>
  <w15:docId w15:val="{7CA6130B-67FB-4861-A06D-B544D4EE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B6"/>
  </w:style>
  <w:style w:type="paragraph" w:styleId="Footer">
    <w:name w:val="footer"/>
    <w:basedOn w:val="Normal"/>
    <w:link w:val="FooterChar"/>
    <w:uiPriority w:val="99"/>
    <w:unhideWhenUsed/>
    <w:rsid w:val="000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B6"/>
  </w:style>
  <w:style w:type="paragraph" w:styleId="ListParagraph">
    <w:name w:val="List Paragraph"/>
    <w:basedOn w:val="Normal"/>
    <w:uiPriority w:val="34"/>
    <w:qFormat/>
    <w:rsid w:val="0088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4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049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8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4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kcc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0D3D-389B-4245-BCF2-88471FB6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Pratt</dc:creator>
  <cp:keywords/>
  <dc:description/>
  <cp:lastModifiedBy>Margaret Pratt</cp:lastModifiedBy>
  <cp:revision>9</cp:revision>
  <cp:lastPrinted>2017-06-20T06:11:00Z</cp:lastPrinted>
  <dcterms:created xsi:type="dcterms:W3CDTF">2017-05-16T06:56:00Z</dcterms:created>
  <dcterms:modified xsi:type="dcterms:W3CDTF">2017-06-20T06:11:00Z</dcterms:modified>
</cp:coreProperties>
</file>